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FA7EC7" w:rsidRDefault="00431988" w:rsidP="00431988">
      <w:pPr>
        <w:pStyle w:val="Title"/>
        <w:rPr>
          <w:rFonts w:cs="Arial"/>
          <w:caps/>
          <w:sz w:val="24"/>
        </w:rPr>
      </w:pPr>
      <w:r w:rsidRPr="00FA7EC7">
        <w:rPr>
          <w:rFonts w:cs="Arial"/>
          <w:caps/>
          <w:sz w:val="24"/>
        </w:rPr>
        <w:t>Georgia Power Company</w:t>
      </w:r>
    </w:p>
    <w:p w14:paraId="2EBAF9AA" w14:textId="6F5A7F78" w:rsidR="00431988" w:rsidRPr="00FA7EC7" w:rsidRDefault="00431988" w:rsidP="00431988">
      <w:pPr>
        <w:jc w:val="center"/>
        <w:rPr>
          <w:rFonts w:ascii="Arial" w:hAnsi="Arial" w:cs="Arial"/>
          <w:b/>
        </w:rPr>
      </w:pPr>
      <w:r w:rsidRPr="00FA7EC7">
        <w:rPr>
          <w:rFonts w:ascii="Arial" w:hAnsi="Arial" w:cs="Arial"/>
          <w:b/>
        </w:rPr>
        <w:t xml:space="preserve">Docket No. </w:t>
      </w:r>
      <w:r w:rsidR="00F25C6F" w:rsidRPr="00FA7EC7">
        <w:rPr>
          <w:rFonts w:ascii="Arial" w:hAnsi="Arial" w:cs="Arial"/>
          <w:b/>
        </w:rPr>
        <w:t>43838</w:t>
      </w:r>
    </w:p>
    <w:p w14:paraId="5608C5AC" w14:textId="36AEFC31" w:rsidR="00807EC6" w:rsidRPr="00FA7EC7" w:rsidRDefault="00431988" w:rsidP="00807EC6">
      <w:pPr>
        <w:jc w:val="center"/>
        <w:rPr>
          <w:rFonts w:ascii="Arial" w:hAnsi="Arial" w:cs="Arial"/>
          <w:b/>
        </w:rPr>
      </w:pPr>
      <w:r w:rsidRPr="00FA7EC7">
        <w:rPr>
          <w:rFonts w:ascii="Arial" w:hAnsi="Arial" w:cs="Arial"/>
          <w:b/>
        </w:rPr>
        <w:t>Staff Data Request No</w:t>
      </w:r>
      <w:r w:rsidR="00F83ED9" w:rsidRPr="00FA7EC7">
        <w:rPr>
          <w:rFonts w:ascii="Arial" w:hAnsi="Arial" w:cs="Arial"/>
          <w:b/>
        </w:rPr>
        <w:t>.</w:t>
      </w:r>
      <w:r w:rsidRPr="00FA7EC7">
        <w:rPr>
          <w:rFonts w:ascii="Arial" w:hAnsi="Arial" w:cs="Arial"/>
          <w:b/>
        </w:rPr>
        <w:t xml:space="preserve"> STF-</w:t>
      </w:r>
      <w:r w:rsidR="009D44C2" w:rsidRPr="00FA7EC7">
        <w:rPr>
          <w:rFonts w:ascii="Arial" w:hAnsi="Arial" w:cs="Arial"/>
          <w:b/>
        </w:rPr>
        <w:t>3</w:t>
      </w:r>
    </w:p>
    <w:p w14:paraId="29944C4D" w14:textId="77777777" w:rsidR="00431988" w:rsidRPr="00FA7EC7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2E9FCB3C" w:rsidR="00164901" w:rsidRPr="00FA7EC7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FA7EC7">
        <w:rPr>
          <w:rFonts w:ascii="Arial" w:hAnsi="Arial" w:cs="Arial"/>
          <w:b/>
          <w:bCs/>
          <w:szCs w:val="24"/>
        </w:rPr>
        <w:t>STF-</w:t>
      </w:r>
      <w:r w:rsidR="009D44C2" w:rsidRPr="00FA7EC7">
        <w:rPr>
          <w:rFonts w:ascii="Arial" w:hAnsi="Arial" w:cs="Arial"/>
          <w:b/>
          <w:bCs/>
          <w:szCs w:val="24"/>
        </w:rPr>
        <w:t>3</w:t>
      </w:r>
      <w:r w:rsidR="007F08F1" w:rsidRPr="00FA7EC7">
        <w:rPr>
          <w:rFonts w:ascii="Arial" w:hAnsi="Arial" w:cs="Arial"/>
          <w:b/>
          <w:bCs/>
          <w:szCs w:val="24"/>
        </w:rPr>
        <w:t>-</w:t>
      </w:r>
      <w:r w:rsidR="00A21E5E">
        <w:rPr>
          <w:rFonts w:ascii="Arial" w:hAnsi="Arial" w:cs="Arial"/>
          <w:b/>
          <w:bCs/>
          <w:szCs w:val="24"/>
        </w:rPr>
        <w:t>7</w:t>
      </w:r>
    </w:p>
    <w:p w14:paraId="628B76AE" w14:textId="77777777" w:rsidR="00431988" w:rsidRPr="00FA7EC7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FA7EC7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FA7EC7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FA7EC7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434492E4" w14:textId="77777777" w:rsidR="00A21E5E" w:rsidRPr="00A21E5E" w:rsidRDefault="00A21E5E" w:rsidP="00A21E5E">
      <w:pPr>
        <w:tabs>
          <w:tab w:val="left" w:pos="1260"/>
        </w:tabs>
        <w:jc w:val="both"/>
        <w:rPr>
          <w:rFonts w:ascii="Arial" w:hAnsi="Arial" w:cs="Arial"/>
          <w:szCs w:val="24"/>
        </w:rPr>
      </w:pPr>
      <w:r w:rsidRPr="00A21E5E">
        <w:rPr>
          <w:rFonts w:ascii="Arial" w:hAnsi="Arial" w:cs="Arial"/>
          <w:szCs w:val="24"/>
        </w:rPr>
        <w:t>Refer to the Page 5 tab of Sched 2, Pages 1-5 – Exhibits.  Provide all authorities relied on in support of the 10.5% return on equity.  If the Company relied on a prior Commission Order, then cite to the specific provision(s) that authorizes the 10.50% for the Vogtle 3 adjustment to base rates, if any.  If none, then so state.</w:t>
      </w:r>
    </w:p>
    <w:p w14:paraId="3A988B21" w14:textId="77777777" w:rsidR="00B672A1" w:rsidRPr="00FA7EC7" w:rsidRDefault="00B672A1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3D1DC843" w:rsidR="00431988" w:rsidRPr="00FA7EC7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FA7EC7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3F601A05" w:rsidR="00431988" w:rsidRPr="00FA7EC7" w:rsidRDefault="00431988">
      <w:pPr>
        <w:rPr>
          <w:rFonts w:ascii="Arial" w:hAnsi="Arial" w:cs="Arial"/>
        </w:rPr>
      </w:pPr>
    </w:p>
    <w:p w14:paraId="64D30D60" w14:textId="3EEC104E" w:rsidR="00A37A8F" w:rsidRPr="00FA7EC7" w:rsidRDefault="00820313" w:rsidP="0090450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The 10.50% return on equity (ROE) used in this filing is</w:t>
      </w:r>
      <w:r w:rsidR="00DE0A17">
        <w:rPr>
          <w:rFonts w:ascii="Arial" w:hAnsi="Arial" w:cs="Arial"/>
          <w:szCs w:val="24"/>
        </w:rPr>
        <w:t xml:space="preserve"> based on</w:t>
      </w:r>
      <w:r>
        <w:rPr>
          <w:rFonts w:ascii="Arial" w:hAnsi="Arial" w:cs="Arial"/>
          <w:szCs w:val="24"/>
        </w:rPr>
        <w:t xml:space="preserve"> the ROE set point approved by the Commission to set the base rates in</w:t>
      </w:r>
      <w:r w:rsidR="00A25F6E">
        <w:rPr>
          <w:rFonts w:ascii="Arial" w:hAnsi="Arial" w:cs="Arial"/>
          <w:szCs w:val="24"/>
        </w:rPr>
        <w:t xml:space="preserve"> the 2019 </w:t>
      </w:r>
      <w:r w:rsidR="00DE0A17">
        <w:rPr>
          <w:rFonts w:ascii="Arial" w:hAnsi="Arial" w:cs="Arial"/>
          <w:szCs w:val="24"/>
        </w:rPr>
        <w:t xml:space="preserve">Final </w:t>
      </w:r>
      <w:r w:rsidR="00A25F6E">
        <w:rPr>
          <w:rFonts w:ascii="Arial" w:hAnsi="Arial" w:cs="Arial"/>
          <w:szCs w:val="24"/>
        </w:rPr>
        <w:t>Rate Case Order in Docket No. 42516.</w:t>
      </w:r>
      <w:r w:rsidR="00E751A3">
        <w:rPr>
          <w:rFonts w:ascii="Arial" w:hAnsi="Arial" w:cs="Arial"/>
          <w:szCs w:val="24"/>
        </w:rPr>
        <w:t xml:space="preserve"> </w:t>
      </w:r>
      <w:r w:rsidR="00FF6C47">
        <w:rPr>
          <w:rFonts w:ascii="Arial" w:hAnsi="Arial" w:cs="Arial"/>
          <w:szCs w:val="24"/>
        </w:rPr>
        <w:t xml:space="preserve">The ROE </w:t>
      </w:r>
      <w:r w:rsidR="008F5F31">
        <w:rPr>
          <w:rFonts w:ascii="Arial" w:hAnsi="Arial" w:cs="Arial"/>
          <w:szCs w:val="24"/>
        </w:rPr>
        <w:t>reductions</w:t>
      </w:r>
      <w:r w:rsidR="00FF6C47">
        <w:rPr>
          <w:rFonts w:ascii="Arial" w:hAnsi="Arial" w:cs="Arial"/>
          <w:szCs w:val="24"/>
        </w:rPr>
        <w:t xml:space="preserve"> in the SIR stipulation, as revised by the VCM 17 Order, </w:t>
      </w:r>
      <w:r w:rsidR="008F5F31">
        <w:rPr>
          <w:rFonts w:ascii="Arial" w:hAnsi="Arial" w:cs="Arial"/>
          <w:szCs w:val="24"/>
        </w:rPr>
        <w:t xml:space="preserve">apply </w:t>
      </w:r>
      <w:r w:rsidR="00FF6C47">
        <w:rPr>
          <w:rFonts w:ascii="Arial" w:hAnsi="Arial" w:cs="Arial"/>
          <w:szCs w:val="24"/>
        </w:rPr>
        <w:t xml:space="preserve">only </w:t>
      </w:r>
      <w:r w:rsidR="008F5F31">
        <w:rPr>
          <w:rFonts w:ascii="Arial" w:hAnsi="Arial" w:cs="Arial"/>
          <w:szCs w:val="24"/>
        </w:rPr>
        <w:t xml:space="preserve">to </w:t>
      </w:r>
      <w:r w:rsidR="00FF6C47">
        <w:rPr>
          <w:rFonts w:ascii="Arial" w:hAnsi="Arial" w:cs="Arial"/>
          <w:szCs w:val="24"/>
        </w:rPr>
        <w:t xml:space="preserve">the Company’s approved ROE </w:t>
      </w:r>
      <w:r w:rsidR="008F5F31">
        <w:rPr>
          <w:rFonts w:ascii="Arial" w:hAnsi="Arial" w:cs="Arial"/>
          <w:szCs w:val="24"/>
        </w:rPr>
        <w:t>related to</w:t>
      </w:r>
      <w:r w:rsidR="00FF6C47">
        <w:rPr>
          <w:rFonts w:ascii="Arial" w:hAnsi="Arial" w:cs="Arial"/>
          <w:szCs w:val="24"/>
        </w:rPr>
        <w:t xml:space="preserve"> NCCR and AFUDC. </w:t>
      </w:r>
      <w:r w:rsidR="00DE0A17">
        <w:rPr>
          <w:rFonts w:ascii="Arial" w:hAnsi="Arial" w:cs="Arial"/>
          <w:szCs w:val="24"/>
        </w:rPr>
        <w:t>Therefore, t</w:t>
      </w:r>
      <w:r w:rsidR="00E751A3">
        <w:rPr>
          <w:rFonts w:ascii="Arial" w:hAnsi="Arial" w:cs="Arial"/>
          <w:szCs w:val="24"/>
        </w:rPr>
        <w:t>he adjustment to include</w:t>
      </w:r>
      <w:r w:rsidR="00DE0A17">
        <w:rPr>
          <w:rFonts w:ascii="Arial" w:hAnsi="Arial" w:cs="Arial"/>
          <w:szCs w:val="24"/>
        </w:rPr>
        <w:t xml:space="preserve"> in base rates</w:t>
      </w:r>
      <w:r w:rsidR="00E751A3">
        <w:rPr>
          <w:rFonts w:ascii="Arial" w:hAnsi="Arial" w:cs="Arial"/>
          <w:szCs w:val="24"/>
        </w:rPr>
        <w:t xml:space="preserve"> </w:t>
      </w:r>
      <w:r w:rsidR="00904504">
        <w:rPr>
          <w:rFonts w:ascii="Arial" w:hAnsi="Arial" w:cs="Arial"/>
          <w:szCs w:val="24"/>
        </w:rPr>
        <w:t xml:space="preserve">the deemed prudent portion of the </w:t>
      </w:r>
      <w:r w:rsidR="00E751A3">
        <w:rPr>
          <w:rFonts w:ascii="Arial" w:hAnsi="Arial" w:cs="Arial"/>
          <w:szCs w:val="24"/>
        </w:rPr>
        <w:t xml:space="preserve">Vogtle 3 and </w:t>
      </w:r>
      <w:r w:rsidR="00DE0A17">
        <w:rPr>
          <w:rFonts w:ascii="Arial" w:hAnsi="Arial" w:cs="Arial"/>
          <w:szCs w:val="24"/>
        </w:rPr>
        <w:t>C</w:t>
      </w:r>
      <w:r w:rsidR="00E751A3">
        <w:rPr>
          <w:rFonts w:ascii="Arial" w:hAnsi="Arial" w:cs="Arial"/>
          <w:szCs w:val="24"/>
        </w:rPr>
        <w:t>ommon facilities</w:t>
      </w:r>
      <w:r w:rsidR="00DE0A17">
        <w:rPr>
          <w:rFonts w:ascii="Arial" w:hAnsi="Arial" w:cs="Arial"/>
          <w:szCs w:val="24"/>
        </w:rPr>
        <w:t xml:space="preserve"> </w:t>
      </w:r>
      <w:r w:rsidR="00E751A3">
        <w:rPr>
          <w:rFonts w:ascii="Arial" w:hAnsi="Arial" w:cs="Arial"/>
          <w:szCs w:val="24"/>
        </w:rPr>
        <w:t xml:space="preserve">appropriately </w:t>
      </w:r>
      <w:r w:rsidR="004165F8">
        <w:rPr>
          <w:rFonts w:ascii="Arial" w:hAnsi="Arial" w:cs="Arial"/>
          <w:szCs w:val="24"/>
        </w:rPr>
        <w:t xml:space="preserve">calculates the Company’s revenue requirement based on </w:t>
      </w:r>
      <w:r w:rsidR="00E751A3">
        <w:rPr>
          <w:rFonts w:ascii="Arial" w:hAnsi="Arial" w:cs="Arial"/>
          <w:szCs w:val="24"/>
        </w:rPr>
        <w:t xml:space="preserve">the 10.50% ROE </w:t>
      </w:r>
      <w:r w:rsidR="008F5F31">
        <w:rPr>
          <w:rFonts w:ascii="Arial" w:hAnsi="Arial" w:cs="Arial"/>
          <w:szCs w:val="24"/>
        </w:rPr>
        <w:t>set point as determined by the 2019 rate case</w:t>
      </w:r>
      <w:r w:rsidR="00E751A3">
        <w:rPr>
          <w:rFonts w:ascii="Arial" w:hAnsi="Arial" w:cs="Arial"/>
          <w:szCs w:val="24"/>
        </w:rPr>
        <w:t xml:space="preserve">. </w:t>
      </w:r>
    </w:p>
    <w:p w14:paraId="4E324736" w14:textId="79E2AF57" w:rsidR="00A37A8F" w:rsidRPr="00FA7EC7" w:rsidRDefault="00A37A8F">
      <w:pPr>
        <w:rPr>
          <w:rFonts w:ascii="Arial" w:hAnsi="Arial" w:cs="Arial"/>
        </w:rPr>
      </w:pPr>
    </w:p>
    <w:p w14:paraId="086D9CD0" w14:textId="702582F2" w:rsidR="00A37A8F" w:rsidRPr="00FA7EC7" w:rsidRDefault="00A37A8F">
      <w:pPr>
        <w:rPr>
          <w:rFonts w:ascii="Arial" w:hAnsi="Arial" w:cs="Arial"/>
        </w:rPr>
      </w:pPr>
    </w:p>
    <w:p w14:paraId="6A1D5E45" w14:textId="03B66DB0" w:rsidR="00A37A8F" w:rsidRPr="00FA7EC7" w:rsidRDefault="00A37A8F">
      <w:pPr>
        <w:rPr>
          <w:rFonts w:ascii="Arial" w:hAnsi="Arial" w:cs="Arial"/>
        </w:rPr>
      </w:pPr>
    </w:p>
    <w:p w14:paraId="089AACA4" w14:textId="30DDCFCB" w:rsidR="00A37A8F" w:rsidRDefault="00A37A8F">
      <w:pPr>
        <w:rPr>
          <w:rFonts w:ascii="Arial" w:hAnsi="Arial" w:cs="Arial"/>
        </w:rPr>
      </w:pPr>
    </w:p>
    <w:p w14:paraId="6F53F4E3" w14:textId="77413777" w:rsidR="00A37A8F" w:rsidRDefault="00A37A8F">
      <w:pPr>
        <w:rPr>
          <w:rFonts w:ascii="Arial" w:hAnsi="Arial" w:cs="Arial"/>
        </w:rPr>
      </w:pPr>
    </w:p>
    <w:p w14:paraId="1BF9B610" w14:textId="55CA3198" w:rsidR="00A25F6E" w:rsidRDefault="00A25F6E">
      <w:pPr>
        <w:rPr>
          <w:rFonts w:ascii="Arial" w:hAnsi="Arial" w:cs="Arial"/>
        </w:rPr>
      </w:pPr>
    </w:p>
    <w:p w14:paraId="48DD6D62" w14:textId="71BA2848" w:rsidR="00A25F6E" w:rsidRDefault="00A25F6E">
      <w:pPr>
        <w:rPr>
          <w:rFonts w:ascii="Arial" w:hAnsi="Arial" w:cs="Arial"/>
        </w:rPr>
      </w:pPr>
    </w:p>
    <w:p w14:paraId="0DA850A3" w14:textId="0D2A4812" w:rsidR="00A25F6E" w:rsidRDefault="00A25F6E">
      <w:pPr>
        <w:rPr>
          <w:rFonts w:ascii="Arial" w:hAnsi="Arial" w:cs="Arial"/>
        </w:rPr>
      </w:pPr>
    </w:p>
    <w:p w14:paraId="2A1B9FA0" w14:textId="00C782BD" w:rsidR="00A25F6E" w:rsidRDefault="00A25F6E">
      <w:pPr>
        <w:rPr>
          <w:rFonts w:ascii="Arial" w:hAnsi="Arial" w:cs="Arial"/>
        </w:rPr>
      </w:pPr>
    </w:p>
    <w:p w14:paraId="00EF3653" w14:textId="7403C154" w:rsidR="00A25F6E" w:rsidRDefault="00A25F6E">
      <w:pPr>
        <w:rPr>
          <w:rFonts w:ascii="Arial" w:hAnsi="Arial" w:cs="Arial"/>
        </w:rPr>
      </w:pPr>
    </w:p>
    <w:p w14:paraId="4F1C9B2D" w14:textId="1779EEFB" w:rsidR="00A25F6E" w:rsidRDefault="00A25F6E">
      <w:pPr>
        <w:rPr>
          <w:rFonts w:ascii="Arial" w:hAnsi="Arial" w:cs="Arial"/>
        </w:rPr>
      </w:pPr>
    </w:p>
    <w:p w14:paraId="3BD1E0A9" w14:textId="7DA48630" w:rsidR="00A25F6E" w:rsidRDefault="00A25F6E">
      <w:pPr>
        <w:rPr>
          <w:rFonts w:ascii="Arial" w:hAnsi="Arial" w:cs="Arial"/>
        </w:rPr>
      </w:pPr>
    </w:p>
    <w:p w14:paraId="2BBCD4A0" w14:textId="0635DB44" w:rsidR="00A25F6E" w:rsidRDefault="00A25F6E">
      <w:pPr>
        <w:rPr>
          <w:rFonts w:ascii="Arial" w:hAnsi="Arial" w:cs="Arial"/>
        </w:rPr>
      </w:pPr>
    </w:p>
    <w:p w14:paraId="5B296AB6" w14:textId="5EEFABFF" w:rsidR="00A25F6E" w:rsidRDefault="00A25F6E">
      <w:pPr>
        <w:rPr>
          <w:rFonts w:ascii="Arial" w:hAnsi="Arial" w:cs="Arial"/>
        </w:rPr>
      </w:pPr>
    </w:p>
    <w:p w14:paraId="2BA63459" w14:textId="22330497" w:rsidR="00A25F6E" w:rsidRDefault="00A25F6E">
      <w:pPr>
        <w:rPr>
          <w:rFonts w:ascii="Arial" w:hAnsi="Arial" w:cs="Arial"/>
        </w:rPr>
      </w:pPr>
    </w:p>
    <w:p w14:paraId="1A43C88F" w14:textId="3571D62A" w:rsidR="00A25F6E" w:rsidRDefault="00A25F6E">
      <w:pPr>
        <w:rPr>
          <w:rFonts w:ascii="Arial" w:hAnsi="Arial" w:cs="Arial"/>
        </w:rPr>
      </w:pPr>
    </w:p>
    <w:p w14:paraId="6B31D648" w14:textId="71F67DDE" w:rsidR="00A25F6E" w:rsidRDefault="00A25F6E">
      <w:pPr>
        <w:rPr>
          <w:rFonts w:ascii="Arial" w:hAnsi="Arial" w:cs="Arial"/>
        </w:rPr>
      </w:pPr>
    </w:p>
    <w:p w14:paraId="18479547" w14:textId="0D36805D" w:rsidR="00A25F6E" w:rsidRDefault="00A25F6E">
      <w:pPr>
        <w:rPr>
          <w:rFonts w:ascii="Arial" w:hAnsi="Arial" w:cs="Arial"/>
        </w:rPr>
      </w:pPr>
    </w:p>
    <w:p w14:paraId="7EE732C4" w14:textId="0693983F" w:rsidR="00A25F6E" w:rsidRDefault="00A25F6E">
      <w:pPr>
        <w:rPr>
          <w:rFonts w:ascii="Arial" w:hAnsi="Arial" w:cs="Arial"/>
        </w:rPr>
      </w:pPr>
    </w:p>
    <w:p w14:paraId="674452EB" w14:textId="432DFDC1" w:rsidR="00A25F6E" w:rsidRDefault="00A25F6E">
      <w:pPr>
        <w:rPr>
          <w:rFonts w:ascii="Arial" w:hAnsi="Arial" w:cs="Arial"/>
        </w:rPr>
      </w:pPr>
    </w:p>
    <w:p w14:paraId="1F432122" w14:textId="77777777" w:rsidR="00A25F6E" w:rsidRDefault="00A25F6E">
      <w:pPr>
        <w:rPr>
          <w:rFonts w:ascii="Arial" w:hAnsi="Arial" w:cs="Arial"/>
        </w:rPr>
      </w:pPr>
    </w:p>
    <w:p w14:paraId="2B370FDE" w14:textId="0E369172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 w:rsidR="002F2C32">
        <w:rPr>
          <w:rFonts w:ascii="Arial" w:hAnsi="Arial" w:cs="Arial"/>
        </w:rPr>
        <w:t>Rich Dodd</w:t>
      </w:r>
    </w:p>
    <w:sectPr w:rsidR="00431988" w:rsidRPr="00E30089" w:rsidSect="00D950E2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4E7A24D2" w:rsidR="003F33AC" w:rsidRPr="0077677F" w:rsidRDefault="009D44C2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August 12</w:t>
    </w:r>
    <w:r w:rsidR="00BE1A82">
      <w:rPr>
        <w:rFonts w:ascii="Arial" w:hAnsi="Arial" w:cs="Arial"/>
      </w:rPr>
      <w:t>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239F1"/>
    <w:multiLevelType w:val="hybridMultilevel"/>
    <w:tmpl w:val="57CE0322"/>
    <w:lvl w:ilvl="0" w:tplc="FAA427F8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04CB6"/>
    <w:multiLevelType w:val="hybridMultilevel"/>
    <w:tmpl w:val="452CF732"/>
    <w:lvl w:ilvl="0" w:tplc="D54EA604">
      <w:start w:val="1"/>
      <w:numFmt w:val="lowerLetter"/>
      <w:lvlText w:val="%1."/>
      <w:lvlJc w:val="righ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44229"/>
    <w:multiLevelType w:val="hybridMultilevel"/>
    <w:tmpl w:val="A34417F2"/>
    <w:lvl w:ilvl="0" w:tplc="2BC22042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37A4B"/>
    <w:multiLevelType w:val="hybridMultilevel"/>
    <w:tmpl w:val="9C1A2468"/>
    <w:lvl w:ilvl="0" w:tplc="8E64F89E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662BE"/>
    <w:multiLevelType w:val="hybridMultilevel"/>
    <w:tmpl w:val="3C6AFEDE"/>
    <w:lvl w:ilvl="0" w:tplc="00C015E2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B16F03"/>
    <w:multiLevelType w:val="hybridMultilevel"/>
    <w:tmpl w:val="EC32EF0A"/>
    <w:lvl w:ilvl="0" w:tplc="ECBA1B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19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812BB"/>
    <w:multiLevelType w:val="hybridMultilevel"/>
    <w:tmpl w:val="7A54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94491"/>
    <w:multiLevelType w:val="hybridMultilevel"/>
    <w:tmpl w:val="410CF058"/>
    <w:lvl w:ilvl="0" w:tplc="D54EA604">
      <w:start w:val="1"/>
      <w:numFmt w:val="lowerLetter"/>
      <w:lvlText w:val="%1."/>
      <w:lvlJc w:val="righ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4" w15:restartNumberingAfterBreak="0">
    <w:nsid w:val="58A61A25"/>
    <w:multiLevelType w:val="hybridMultilevel"/>
    <w:tmpl w:val="5204E536"/>
    <w:lvl w:ilvl="0" w:tplc="D54EA604">
      <w:start w:val="1"/>
      <w:numFmt w:val="lowerLetter"/>
      <w:lvlText w:val="%1."/>
      <w:lvlJc w:val="righ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5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6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C2EB2"/>
    <w:multiLevelType w:val="hybridMultilevel"/>
    <w:tmpl w:val="2514B5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"/>
  </w:num>
  <w:num w:numId="10">
    <w:abstractNumId w:val="10"/>
  </w:num>
  <w:num w:numId="11">
    <w:abstractNumId w:val="17"/>
  </w:num>
  <w:num w:numId="12">
    <w:abstractNumId w:val="14"/>
  </w:num>
  <w:num w:numId="13">
    <w:abstractNumId w:val="20"/>
  </w:num>
  <w:num w:numId="14">
    <w:abstractNumId w:val="4"/>
  </w:num>
  <w:num w:numId="15">
    <w:abstractNumId w:val="12"/>
  </w:num>
  <w:num w:numId="16">
    <w:abstractNumId w:val="19"/>
  </w:num>
  <w:num w:numId="17">
    <w:abstractNumId w:val="7"/>
  </w:num>
  <w:num w:numId="18">
    <w:abstractNumId w:val="3"/>
  </w:num>
  <w:num w:numId="19">
    <w:abstractNumId w:val="1"/>
  </w:num>
  <w:num w:numId="20">
    <w:abstractNumId w:val="6"/>
  </w:num>
  <w:num w:numId="21">
    <w:abstractNumId w:val="21"/>
  </w:num>
  <w:num w:numId="22">
    <w:abstractNumId w:val="22"/>
  </w:num>
  <w:num w:numId="23">
    <w:abstractNumId w:val="16"/>
  </w:num>
  <w:num w:numId="24">
    <w:abstractNumId w:val="15"/>
  </w:num>
  <w:num w:numId="25">
    <w:abstractNumId w:val="11"/>
  </w:num>
  <w:num w:numId="26">
    <w:abstractNumId w:val="5"/>
  </w:num>
  <w:num w:numId="27">
    <w:abstractNumId w:val="13"/>
  </w:num>
  <w:num w:numId="28">
    <w:abstractNumId w:val="28"/>
  </w:num>
  <w:num w:numId="29">
    <w:abstractNumId w:val="24"/>
  </w:num>
  <w:num w:numId="30">
    <w:abstractNumId w:val="23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MPDocID" w:val="118464300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781B5E"/>
    <w:rsid w:val="000043A7"/>
    <w:rsid w:val="00020979"/>
    <w:rsid w:val="000214BA"/>
    <w:rsid w:val="000374F8"/>
    <w:rsid w:val="000403C8"/>
    <w:rsid w:val="000445B0"/>
    <w:rsid w:val="00060549"/>
    <w:rsid w:val="000667D2"/>
    <w:rsid w:val="0006704B"/>
    <w:rsid w:val="00081574"/>
    <w:rsid w:val="000C2AA7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D14"/>
    <w:rsid w:val="0018439C"/>
    <w:rsid w:val="001A1D1D"/>
    <w:rsid w:val="001E3593"/>
    <w:rsid w:val="001E5DA0"/>
    <w:rsid w:val="00227A05"/>
    <w:rsid w:val="002303B9"/>
    <w:rsid w:val="00247C79"/>
    <w:rsid w:val="00250BC4"/>
    <w:rsid w:val="00263EFF"/>
    <w:rsid w:val="00270FA5"/>
    <w:rsid w:val="00274366"/>
    <w:rsid w:val="00275B6A"/>
    <w:rsid w:val="00297B01"/>
    <w:rsid w:val="002A0E5A"/>
    <w:rsid w:val="002B40B1"/>
    <w:rsid w:val="002C7DA5"/>
    <w:rsid w:val="002D203D"/>
    <w:rsid w:val="002E1A6A"/>
    <w:rsid w:val="002F2512"/>
    <w:rsid w:val="002F2C32"/>
    <w:rsid w:val="002F6728"/>
    <w:rsid w:val="00302EEF"/>
    <w:rsid w:val="00303450"/>
    <w:rsid w:val="00321E8A"/>
    <w:rsid w:val="0038296D"/>
    <w:rsid w:val="003962E1"/>
    <w:rsid w:val="003B0352"/>
    <w:rsid w:val="003B77C9"/>
    <w:rsid w:val="003C6098"/>
    <w:rsid w:val="003D7EB2"/>
    <w:rsid w:val="003F33AC"/>
    <w:rsid w:val="00401F1A"/>
    <w:rsid w:val="00405F6C"/>
    <w:rsid w:val="004165F8"/>
    <w:rsid w:val="00431988"/>
    <w:rsid w:val="00440182"/>
    <w:rsid w:val="00455CE4"/>
    <w:rsid w:val="00460392"/>
    <w:rsid w:val="0046041A"/>
    <w:rsid w:val="00461570"/>
    <w:rsid w:val="00464163"/>
    <w:rsid w:val="00471255"/>
    <w:rsid w:val="00486073"/>
    <w:rsid w:val="00496C5A"/>
    <w:rsid w:val="004A6CD4"/>
    <w:rsid w:val="004C6A8A"/>
    <w:rsid w:val="004D0481"/>
    <w:rsid w:val="004F6AAC"/>
    <w:rsid w:val="00510DC3"/>
    <w:rsid w:val="00515C39"/>
    <w:rsid w:val="00523312"/>
    <w:rsid w:val="00536EC6"/>
    <w:rsid w:val="0054000B"/>
    <w:rsid w:val="0057479C"/>
    <w:rsid w:val="0057533E"/>
    <w:rsid w:val="00590FC8"/>
    <w:rsid w:val="005C003E"/>
    <w:rsid w:val="005C4031"/>
    <w:rsid w:val="005C4EBA"/>
    <w:rsid w:val="005F22E0"/>
    <w:rsid w:val="005F7E58"/>
    <w:rsid w:val="00614204"/>
    <w:rsid w:val="006464D1"/>
    <w:rsid w:val="006507AC"/>
    <w:rsid w:val="00655F98"/>
    <w:rsid w:val="006710FB"/>
    <w:rsid w:val="00684CFD"/>
    <w:rsid w:val="006A0EC9"/>
    <w:rsid w:val="006C263A"/>
    <w:rsid w:val="006D711E"/>
    <w:rsid w:val="006E7936"/>
    <w:rsid w:val="0070496B"/>
    <w:rsid w:val="007109AE"/>
    <w:rsid w:val="00713AAC"/>
    <w:rsid w:val="00724496"/>
    <w:rsid w:val="0073556D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7F08F1"/>
    <w:rsid w:val="008012B2"/>
    <w:rsid w:val="00807EC6"/>
    <w:rsid w:val="00820313"/>
    <w:rsid w:val="008269DC"/>
    <w:rsid w:val="008272A5"/>
    <w:rsid w:val="00840589"/>
    <w:rsid w:val="008431C4"/>
    <w:rsid w:val="00856A5B"/>
    <w:rsid w:val="00862B6D"/>
    <w:rsid w:val="0088112D"/>
    <w:rsid w:val="008822C9"/>
    <w:rsid w:val="00885D2E"/>
    <w:rsid w:val="00886CAB"/>
    <w:rsid w:val="008A0151"/>
    <w:rsid w:val="008A1FFF"/>
    <w:rsid w:val="008D0A5C"/>
    <w:rsid w:val="008F5F31"/>
    <w:rsid w:val="008F7CAF"/>
    <w:rsid w:val="00904504"/>
    <w:rsid w:val="00923700"/>
    <w:rsid w:val="009500E3"/>
    <w:rsid w:val="0096507E"/>
    <w:rsid w:val="00970288"/>
    <w:rsid w:val="00973D0D"/>
    <w:rsid w:val="00997F98"/>
    <w:rsid w:val="009C2997"/>
    <w:rsid w:val="009C58E7"/>
    <w:rsid w:val="009D44C2"/>
    <w:rsid w:val="009E3C9F"/>
    <w:rsid w:val="009E7B6A"/>
    <w:rsid w:val="009F11F7"/>
    <w:rsid w:val="00A00EA8"/>
    <w:rsid w:val="00A100C9"/>
    <w:rsid w:val="00A165A5"/>
    <w:rsid w:val="00A21E5E"/>
    <w:rsid w:val="00A25F6E"/>
    <w:rsid w:val="00A3420D"/>
    <w:rsid w:val="00A37235"/>
    <w:rsid w:val="00A37A8F"/>
    <w:rsid w:val="00A614DA"/>
    <w:rsid w:val="00A61DF0"/>
    <w:rsid w:val="00A7112E"/>
    <w:rsid w:val="00A72D04"/>
    <w:rsid w:val="00A86F1E"/>
    <w:rsid w:val="00A912EE"/>
    <w:rsid w:val="00AA67C2"/>
    <w:rsid w:val="00AA75B4"/>
    <w:rsid w:val="00AB61AA"/>
    <w:rsid w:val="00AD417B"/>
    <w:rsid w:val="00AE10D3"/>
    <w:rsid w:val="00AF7971"/>
    <w:rsid w:val="00B00A19"/>
    <w:rsid w:val="00B06845"/>
    <w:rsid w:val="00B1708B"/>
    <w:rsid w:val="00B2467A"/>
    <w:rsid w:val="00B46E45"/>
    <w:rsid w:val="00B51D5E"/>
    <w:rsid w:val="00B57877"/>
    <w:rsid w:val="00B6168D"/>
    <w:rsid w:val="00B672A1"/>
    <w:rsid w:val="00B82057"/>
    <w:rsid w:val="00B90593"/>
    <w:rsid w:val="00B908B0"/>
    <w:rsid w:val="00B90ACE"/>
    <w:rsid w:val="00BB0674"/>
    <w:rsid w:val="00BB2456"/>
    <w:rsid w:val="00BB7DBE"/>
    <w:rsid w:val="00BC6A09"/>
    <w:rsid w:val="00BD579D"/>
    <w:rsid w:val="00BD5E57"/>
    <w:rsid w:val="00BE1A82"/>
    <w:rsid w:val="00BF2D59"/>
    <w:rsid w:val="00C10668"/>
    <w:rsid w:val="00C156A6"/>
    <w:rsid w:val="00C177A9"/>
    <w:rsid w:val="00C21B7E"/>
    <w:rsid w:val="00C42ED4"/>
    <w:rsid w:val="00C57DC7"/>
    <w:rsid w:val="00C6749F"/>
    <w:rsid w:val="00C73685"/>
    <w:rsid w:val="00C80B75"/>
    <w:rsid w:val="00CD5D65"/>
    <w:rsid w:val="00CF0C74"/>
    <w:rsid w:val="00CF0F15"/>
    <w:rsid w:val="00CF4BE5"/>
    <w:rsid w:val="00D07683"/>
    <w:rsid w:val="00D143A1"/>
    <w:rsid w:val="00D228F6"/>
    <w:rsid w:val="00D35201"/>
    <w:rsid w:val="00D373E7"/>
    <w:rsid w:val="00D758F3"/>
    <w:rsid w:val="00D84FBF"/>
    <w:rsid w:val="00D9180D"/>
    <w:rsid w:val="00D933BB"/>
    <w:rsid w:val="00D950E2"/>
    <w:rsid w:val="00DC793E"/>
    <w:rsid w:val="00DD4F94"/>
    <w:rsid w:val="00DD5CF1"/>
    <w:rsid w:val="00DD63DD"/>
    <w:rsid w:val="00DE0A17"/>
    <w:rsid w:val="00DF69EC"/>
    <w:rsid w:val="00E03F19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751A3"/>
    <w:rsid w:val="00E812FD"/>
    <w:rsid w:val="00EE0222"/>
    <w:rsid w:val="00F01154"/>
    <w:rsid w:val="00F10747"/>
    <w:rsid w:val="00F25C6F"/>
    <w:rsid w:val="00F65111"/>
    <w:rsid w:val="00F66F01"/>
    <w:rsid w:val="00F72342"/>
    <w:rsid w:val="00F83ED9"/>
    <w:rsid w:val="00F9046E"/>
    <w:rsid w:val="00F94336"/>
    <w:rsid w:val="00F95C9A"/>
    <w:rsid w:val="00FA2C7E"/>
    <w:rsid w:val="00FA7EC7"/>
    <w:rsid w:val="00FB271B"/>
    <w:rsid w:val="00FB32D6"/>
    <w:rsid w:val="00FC463E"/>
    <w:rsid w:val="00FC5CC9"/>
    <w:rsid w:val="00FC5EAE"/>
    <w:rsid w:val="00FE627C"/>
    <w:rsid w:val="00FF25B2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customStyle="1" w:styleId="zzmpTrailerItem">
    <w:name w:val="zzmpTrailerItem"/>
    <w:basedOn w:val="DefaultParagraphFont"/>
    <w:rsid w:val="00B06845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CommentReference">
    <w:name w:val="annotation reference"/>
    <w:basedOn w:val="DefaultParagraphFont"/>
    <w:uiPriority w:val="99"/>
    <w:semiHidden/>
    <w:unhideWhenUsed/>
    <w:rsid w:val="002D20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3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3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3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2021-08-12T01:55:00Z</dcterms:created>
  <dcterms:modified xsi:type="dcterms:W3CDTF">2021-08-12T01:55:00Z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